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2B0A6" w14:textId="7EF472EF" w:rsidR="009037D7" w:rsidRPr="00392157" w:rsidRDefault="009037D7" w:rsidP="009037D7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Załącznik nr 7d do SWZ</w:t>
      </w:r>
    </w:p>
    <w:p w14:paraId="1C5BECF5" w14:textId="49DC4C5D" w:rsidR="000718A3" w:rsidRDefault="000718A3" w:rsidP="00F466EA">
      <w:pPr>
        <w:jc w:val="center"/>
        <w:rPr>
          <w:b/>
          <w:sz w:val="36"/>
          <w:szCs w:val="36"/>
        </w:rPr>
      </w:pPr>
    </w:p>
    <w:p w14:paraId="0D9E279B" w14:textId="2107A15C" w:rsidR="00580D48" w:rsidRDefault="00F466EA" w:rsidP="00F466EA">
      <w:pPr>
        <w:jc w:val="center"/>
        <w:rPr>
          <w:b/>
          <w:sz w:val="36"/>
          <w:szCs w:val="36"/>
        </w:rPr>
      </w:pPr>
      <w:r w:rsidRPr="00F466EA">
        <w:rPr>
          <w:b/>
          <w:sz w:val="36"/>
          <w:szCs w:val="36"/>
        </w:rPr>
        <w:t>Opis przedmiotu zamówienia</w:t>
      </w:r>
      <w:r w:rsidR="00C67067">
        <w:rPr>
          <w:b/>
          <w:sz w:val="36"/>
          <w:szCs w:val="36"/>
        </w:rPr>
        <w:t xml:space="preserve"> – </w:t>
      </w:r>
      <w:r w:rsidR="00C67067">
        <w:rPr>
          <w:b/>
          <w:color w:val="EE0000"/>
          <w:sz w:val="36"/>
          <w:szCs w:val="36"/>
        </w:rPr>
        <w:t>złożyć z ofertą</w:t>
      </w:r>
    </w:p>
    <w:p w14:paraId="07622C6B" w14:textId="5DBEA888" w:rsidR="0021055A" w:rsidRPr="0021055A" w:rsidRDefault="00A255C5" w:rsidP="0021055A">
      <w:pPr>
        <w:jc w:val="center"/>
        <w:rPr>
          <w:b/>
          <w:sz w:val="16"/>
          <w:szCs w:val="16"/>
        </w:rPr>
      </w:pPr>
      <w:r>
        <w:rPr>
          <w:b/>
          <w:sz w:val="36"/>
          <w:szCs w:val="36"/>
        </w:rPr>
        <w:t>Urządzenie wielofunkcyjne</w:t>
      </w:r>
      <w:r w:rsidR="00B37674">
        <w:rPr>
          <w:b/>
          <w:sz w:val="36"/>
          <w:szCs w:val="36"/>
        </w:rPr>
        <w:t xml:space="preserve"> – 10 szt.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5182"/>
        <w:gridCol w:w="2837"/>
      </w:tblGrid>
      <w:tr w:rsidR="00F466EA" w:rsidRPr="00173488" w14:paraId="552DC70B" w14:textId="77777777" w:rsidTr="00B36375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C4EC6CE" w14:textId="1E145C7E" w:rsidR="00B36375" w:rsidRPr="00173488" w:rsidRDefault="00C577D8" w:rsidP="00173488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Produkt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(</w:t>
            </w:r>
            <w:r w:rsidRPr="0006549D">
              <w:rPr>
                <w:rFonts w:ascii="Roboto" w:eastAsia="Times New Roman" w:hAnsi="Roboto" w:cs="Calibri"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proszę podać markę i model oferowanego produktu</w:t>
            </w:r>
            <w:r>
              <w:rPr>
                <w:rFonts w:ascii="Roboto" w:eastAsia="Times New Roman" w:hAnsi="Roboto" w:cs="Calibri"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, </w:t>
            </w:r>
            <w:r w:rsidRPr="00781E69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braku wskazania oferta podlegać będzie odrzuceniu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…………………………………………………….</w:t>
            </w:r>
          </w:p>
        </w:tc>
      </w:tr>
      <w:tr w:rsidR="00B36375" w:rsidRPr="00173488" w14:paraId="1C346C58" w14:textId="77777777" w:rsidTr="00B36375">
        <w:tc>
          <w:tcPr>
            <w:tcW w:w="83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839D4A6" w14:textId="4B91C218" w:rsidR="00B36375" w:rsidRPr="00173488" w:rsidRDefault="00B36375" w:rsidP="00B36375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Parametr</w:t>
            </w:r>
          </w:p>
        </w:tc>
        <w:tc>
          <w:tcPr>
            <w:tcW w:w="268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D9FD479" w14:textId="13705C12" w:rsidR="00B36375" w:rsidRPr="00173488" w:rsidRDefault="00B36375" w:rsidP="00B36375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Opis parametru</w:t>
            </w:r>
          </w:p>
        </w:tc>
        <w:tc>
          <w:tcPr>
            <w:tcW w:w="1472" w:type="pct"/>
            <w:shd w:val="clear" w:color="auto" w:fill="EEEEEE"/>
            <w:vAlign w:val="center"/>
          </w:tcPr>
          <w:p w14:paraId="12A603DF" w14:textId="77777777" w:rsidR="00B36375" w:rsidRDefault="00B36375" w:rsidP="00B36375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Spełnia / Nie spełnia</w:t>
            </w:r>
          </w:p>
          <w:p w14:paraId="05EF3E7C" w14:textId="77777777" w:rsidR="00B36375" w:rsidRDefault="00B36375" w:rsidP="00B36375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Należy wpisać właściwe. </w:t>
            </w:r>
          </w:p>
          <w:p w14:paraId="37A6FC93" w14:textId="463CBE90" w:rsidR="00B36375" w:rsidRPr="00173488" w:rsidRDefault="00B36375" w:rsidP="00B36375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„Nie spełnia” albo nieuzupełnienia pola, oferta podlegać będzie odrzuceniu</w:t>
            </w: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</w:tr>
      <w:tr w:rsidR="0074197E" w:rsidRPr="00173488" w14:paraId="064B57E4" w14:textId="77777777" w:rsidTr="00B36375">
        <w:tc>
          <w:tcPr>
            <w:tcW w:w="839" w:type="pct"/>
            <w:tcBorders>
              <w:bottom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22D36C0" w14:textId="77777777" w:rsidR="00F466EA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Typ urządzenia</w:t>
            </w:r>
          </w:p>
        </w:tc>
        <w:tc>
          <w:tcPr>
            <w:tcW w:w="2689" w:type="pct"/>
            <w:tcBorders>
              <w:bottom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B9A21DE" w14:textId="77777777" w:rsidR="00F466EA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Urządzenie wielofunkcyjne z laserową drukarką monochromatyczną</w:t>
            </w:r>
          </w:p>
        </w:tc>
        <w:tc>
          <w:tcPr>
            <w:tcW w:w="147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120B61" w14:textId="77777777" w:rsidR="00F466EA" w:rsidRPr="00173488" w:rsidRDefault="00F466EA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173488" w14:paraId="3F6302D8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3777C87" w14:textId="77777777" w:rsidR="00F466EA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Dostępne funkcje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9F11172" w14:textId="77777777" w:rsidR="00F466EA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Drukowanie, kopiowanie i skanowanie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60372A6A" w14:textId="77777777" w:rsidR="00F466EA" w:rsidRPr="00173488" w:rsidRDefault="00F466EA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255C5" w:rsidRPr="00173488" w14:paraId="0A3DC732" w14:textId="77777777" w:rsidTr="00B36375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470E63E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173488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Dane techniczne wydruku</w:t>
            </w:r>
          </w:p>
        </w:tc>
      </w:tr>
      <w:tr w:rsidR="0074197E" w:rsidRPr="00173488" w14:paraId="34431813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F0F8780" w14:textId="77777777" w:rsidR="00F466EA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Szybkość drukowania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1CE3E80" w14:textId="77777777" w:rsidR="00F466EA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Jednostronne: do 40 str./min (A4), do 65,4 str./min (A5, układ poziomy)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Dwustronne: do 33,6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./min (A4)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304077DD" w14:textId="77777777" w:rsidR="00F466EA" w:rsidRPr="002D372E" w:rsidRDefault="00F466EA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255C5" w:rsidRPr="00173488" w14:paraId="6FF3379D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CFF72FD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Metoda drukowania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EEAFE78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Monochromatyczny druk laserowy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58312206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38D7486D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60A97067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Rozdzielczość drukowania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F4A0EAF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Maks. 1200 × 1200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372245A9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2D0AABDE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60243E2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Czas rozgrzewania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FF2F71E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Około 14 s lub mniej od włączenia zasilania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76FEEE58" w14:textId="77777777" w:rsidR="00A255C5" w:rsidRPr="002D372E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255C5" w:rsidRPr="00173488" w14:paraId="256DECDE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D702DE8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Czas wydruku pierwszej strony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39DD0FC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Około 5,0 s lub mniej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786713C2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023A01" w14:paraId="5DE24BBA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524D000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Języki obsługi drukarki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704C512F" w14:textId="7BEA7E20" w:rsidR="00A255C5" w:rsidRPr="002D372E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  <w:lang w:val="en-US"/>
              </w:rPr>
            </w:pPr>
            <w:r w:rsidRPr="002D372E">
              <w:rPr>
                <w:rFonts w:ascii="Roboto" w:hAnsi="Roboto"/>
                <w:sz w:val="20"/>
                <w:szCs w:val="20"/>
                <w:lang w:val="en-US"/>
              </w:rPr>
              <w:t>UFRII, PCL 5e, PCL6, Adobe® PostScript3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3AD37953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62F0F2CB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4D8011F6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Marginesy wydruku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453DD9B7" w14:textId="77777777" w:rsidR="00A255C5" w:rsidRPr="00173488" w:rsidRDefault="00A255C5" w:rsidP="00A67B9D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5 mm od góry, dołu, lewej i prawej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maksymalnie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10 mm od góry, dołu, lewej i prawej (koperty)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maksymalnie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70D62907" w14:textId="77777777" w:rsidR="00A255C5" w:rsidRPr="002D372E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255C5" w:rsidRPr="00173488" w14:paraId="37C59C00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09F3C52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lastRenderedPageBreak/>
              <w:t>Tryb oszczędzania tonera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7DA092F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Tak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529EF90F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401733A3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2FE86E4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Zaawansowane funkcje drukowania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698998F7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Encrypted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Secure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Print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br/>
              <w:t>Bezpieczne drukowanie</w:t>
            </w:r>
            <w:r w:rsidRPr="00173488">
              <w:rPr>
                <w:rFonts w:ascii="Roboto" w:hAnsi="Roboto"/>
                <w:sz w:val="20"/>
                <w:szCs w:val="20"/>
              </w:rPr>
              <w:br/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Drukowanie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 z pamięci USB (JPEG/TIFF/PDF)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 xml:space="preserve">Drukowanie z chmury (Dropbox,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GoogleDrive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, OneDrive; formaty: PDF/JPEG)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5EBE2826" w14:textId="77777777" w:rsidR="00A255C5" w:rsidRPr="002D372E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255C5" w:rsidRPr="00173488" w14:paraId="020169BE" w14:textId="77777777" w:rsidTr="00B36375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524DB64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173488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Dane techniczne kopiowania</w:t>
            </w:r>
          </w:p>
        </w:tc>
      </w:tr>
      <w:tr w:rsidR="00A255C5" w:rsidRPr="00173488" w14:paraId="2DD1A1A0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B424C68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Szybkość kopiowania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979F5F9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Jednostronne (A4): do 40 str./min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Dwustronne (A4): do 33,6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./min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26DE00CE" w14:textId="77777777" w:rsidR="00A255C5" w:rsidRPr="002D372E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255C5" w:rsidRPr="00173488" w14:paraId="075C6C14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E325250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Czas uzyskania pierwszej kopii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4B8CA313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Około 6,1 s lub mniej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6D58EBD6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7345936D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7FAAEE23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Rozdzielczość kopiowania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B7EC1BB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Maks. 600 × 600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28DAF714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0637ED50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4F35C2A5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Tryby kopiowania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C790C21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Tekst, tekst/zdjęcia (domyślnie), tekst/zdjęcia (wysoka jakość), zdjęcia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2AD3462D" w14:textId="77777777" w:rsidR="00A255C5" w:rsidRPr="002D372E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255C5" w:rsidRPr="00173488" w14:paraId="03F75D62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A97DC0C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Kopiowanie dwustronne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EE184DD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Dwustronne na dwustronne (automatycznie)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4CB2D738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1228AC48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43C62A81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Kopiowanie wielokrotne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4596FA8" w14:textId="77777777" w:rsidR="00A255C5" w:rsidRPr="00A255C5" w:rsidRDefault="00A255C5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A255C5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Do 999 kopii</w:t>
            </w:r>
          </w:p>
          <w:p w14:paraId="161D3CE0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7AB523BB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7423A332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D65F6A3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Pomniejszanie/ powiększanie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BB392B3" w14:textId="77777777" w:rsidR="00A255C5" w:rsidRPr="00A255C5" w:rsidRDefault="00A255C5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A255C5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25–400% ze zmianą co 1%</w:t>
            </w:r>
          </w:p>
          <w:p w14:paraId="030F9B72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08CB23A8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17A231CD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638AAB8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Inne funkcje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6FA1F40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Usuwanie ramki, sortowanie, 2 strony na arkuszu, 4 strony na arkuszu, kopiowanie dokumentów tożsamości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148D9BE4" w14:textId="77777777" w:rsidR="00A255C5" w:rsidRPr="002D372E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255C5" w:rsidRPr="00173488" w14:paraId="4B4F868E" w14:textId="77777777" w:rsidTr="00B36375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45D5340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173488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Dane techniczne skanowania</w:t>
            </w:r>
          </w:p>
        </w:tc>
      </w:tr>
      <w:tr w:rsidR="00A255C5" w:rsidRPr="00173488" w14:paraId="49DBDE21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44E9DA4A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Rozdzielczość skanowania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A682784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Optyczna: maks. 600 × 600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68C0DC9A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5781C632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2E57E32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Szybkość skanowania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926EE5A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Jednostronne, tryb monochromatyczny: 50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./min (300 × 300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Jednostronne, tryb kolorowy: 40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./min (300 × 300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Dwustronne, tryb monochromatyczny: 100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./min 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Pr="00173488">
              <w:rPr>
                <w:rFonts w:ascii="Roboto" w:hAnsi="Roboto"/>
                <w:sz w:val="20"/>
                <w:szCs w:val="20"/>
              </w:rPr>
              <w:t>(300 × 300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Dwustronne, tryb kolorowy: 80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./min (300 × 300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Jednostronne, tryb monochromatyczny: 40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./min </w:t>
            </w:r>
            <w:r w:rsidRPr="00173488">
              <w:rPr>
                <w:rFonts w:ascii="Roboto" w:hAnsi="Roboto"/>
                <w:sz w:val="20"/>
                <w:szCs w:val="20"/>
              </w:rPr>
              <w:lastRenderedPageBreak/>
              <w:t>(300 × 600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Jednostronne, tryb kolorowy: 20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./min (300 × 600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Dwustronne, tryb monochromatyczny: 80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./min (300 × 600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Dwustronne, tryb kolorowy: 40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obr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./min (300 × 600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dpi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)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3592B04A" w14:textId="77777777" w:rsidR="00A255C5" w:rsidRPr="002D372E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255C5" w:rsidRPr="00173488" w14:paraId="73FD641B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89D58A9" w14:textId="77777777" w:rsidR="00A255C5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Głębia kolorów skanowania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75F25D5" w14:textId="77777777" w:rsidR="00A255C5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24 bity / 24 bity (wejście/wyjście)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583B3F6F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53B926B6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AF65765" w14:textId="77777777" w:rsidR="00A255C5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Odcienie szarości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78393A3" w14:textId="77777777" w:rsidR="00241A64" w:rsidRPr="00241A64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256 poziomów</w:t>
            </w:r>
          </w:p>
          <w:p w14:paraId="4DC394CD" w14:textId="77777777" w:rsidR="00A255C5" w:rsidRPr="00173488" w:rsidRDefault="00A255C5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63306C57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A255C5" w:rsidRPr="00173488" w14:paraId="504F7F06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10EFD8C" w14:textId="77777777" w:rsidR="00A255C5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Zgodność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72186C7" w14:textId="77777777" w:rsidR="00A255C5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TWAIN, WIA, ICA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1C3C4C80" w14:textId="77777777" w:rsidR="00A255C5" w:rsidRPr="00173488" w:rsidRDefault="00A255C5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241A64" w:rsidRPr="00173488" w14:paraId="35F5851E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4C8EFAF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Maksymalna szerokość skanowania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7B9FD2A1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216 mm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3D606452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241A64" w:rsidRPr="00173488" w14:paraId="76942E8E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70095E2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Skanowanie do wiadomości e-mail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C82CB9A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TIFF / JPEG / PDF / kompaktowy PDF / PDF z możliwością wyszukiwania / PDF A-1b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20C9BE3F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0E324012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DCAFC37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Skanowanie do komputera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F3AA2EB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TIFF / JPEG / PDF / kompaktowy PDF / PDF z możliwością wyszukiwania / PDF A-1b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67890283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4CC8A5E6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8D0BC45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Skanowanie do pamięci USB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AD372B7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TIFF / JPEG / PDF / kompaktowy PDF / PDF z możliwością wyszukiwania / PDF A-1b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5CE4B38A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2178A5E6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4891508E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Skanowanie do serwera FTP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9CC35ED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TIFF / JPEG / PDF / kompaktowy PDF / PDF z możliwością wyszukiwania / PDF A-1b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7A3D6C82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71C0DDB2" w14:textId="77777777" w:rsidTr="00B36375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C8126F9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173488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Obsługa nośników</w:t>
            </w:r>
          </w:p>
        </w:tc>
      </w:tr>
      <w:tr w:rsidR="00241A64" w:rsidRPr="00173488" w14:paraId="6EB6C56F" w14:textId="77777777" w:rsidTr="00B36375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F05DB32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564F1BDB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74C11CF8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Typ skanera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F815ACB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Skaner płaski, dwustronny podajnik ADF (jednoprzebiegowy)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1084EB9A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6C5181D7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3EC8124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Zasobniki papieru (w standardzie)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3232117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Kaseta na 250 arkuszy</w:t>
            </w:r>
            <w:r w:rsidR="00A67B9D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br/>
              <w:t>Taca wielofunkcyjna na 100 arkuszy</w:t>
            </w:r>
            <w:r w:rsidR="00A67B9D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br/>
              <w:t>Automatyczny podajnik dokumentów na 50 arkuszy</w:t>
            </w:r>
            <w:r w:rsidR="00A67B9D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45B92F1F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70E4E6BE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DEEFD2F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Wyjście papieru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473B317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Kaseta na 150 arkuszy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05AA49FB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241A64" w:rsidRPr="00173488" w14:paraId="028A6096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874E895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Typy nośników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80B62C9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Papier zwykły, papier z makulatury, papier gruby, papier cienki, etykiety, pocztówki, koperty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47D99DDF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6D555E4B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1A8158A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Rozmiary nośników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784F07B4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Kaseta (standardowa i opcjonalna):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 xml:space="preserve">A4, A5, A5 (układ poziomy), A6, B5,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Legal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Letter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lastRenderedPageBreak/>
              <w:t>Executive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, Statement, OFFICIO, B-OFFICIO, M-OFFICIO, GLTR, GLGL,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Foolscap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, 16K; rozmiary niestandardowe: od 105 × 148 mm do 216,0 × 355,6 mm</w:t>
            </w:r>
            <w:r w:rsidRPr="00173488">
              <w:rPr>
                <w:rFonts w:ascii="Roboto" w:hAnsi="Roboto"/>
                <w:sz w:val="20"/>
                <w:szCs w:val="20"/>
              </w:rPr>
              <w:br/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Podajnik uniwersalny: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 xml:space="preserve">A4, A5, A5 (w poziomie), A6, B5,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Legal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Letter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Executive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, Statement, OFFICIO, B-OFFICIO, M-OFFICIO, GLTR, GLGL,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Foolscap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, 16K, karty indeksu, koperty (COM10,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Monarch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, DL, C5); rozmiary niestandardowe: min. 76,2 × 127 mm; maks. 216,0 × 355,6 mm</w:t>
            </w:r>
            <w:r w:rsidRPr="00173488">
              <w:rPr>
                <w:rFonts w:ascii="Roboto" w:hAnsi="Roboto"/>
                <w:sz w:val="20"/>
                <w:szCs w:val="20"/>
              </w:rPr>
              <w:br/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Podajnik ADF: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 xml:space="preserve">A4, A5, A6, B5,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Legal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Letter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, Statement; rozmiary niestandardowe: od 48,0 × 85,0 mm do 216,0 × 355,6 mm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0AE77A8E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537E0780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7F0F52BC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Gramatura nośników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9E6014B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Kaseta (standardowa i opcjonalna): od 60 do 120 g/m²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Podajnik uniwersalny: od 60 do 199 g/m²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Podajnik ADF: od 60 do 120 g/m²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57CC4B9F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023A01" w14:paraId="102273E6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4F29331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Drukowanie dwustronne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905828A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</w:pPr>
            <w:r w:rsidRPr="002D372E"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  <w:t>A4, Legal, Letter, Executive, OFFICIO, B-OFFICIO, M-OFFICIO, GLGL, Foolscap</w:t>
            </w:r>
            <w:r w:rsidRPr="002D372E"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  <w:br/>
            </w:r>
            <w:proofErr w:type="spellStart"/>
            <w:r w:rsidRPr="002D372E"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  <w:t>Niestandardowy</w:t>
            </w:r>
            <w:proofErr w:type="spellEnd"/>
            <w:r w:rsidRPr="002D372E"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2D372E"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  <w:t>rozmiar</w:t>
            </w:r>
            <w:proofErr w:type="spellEnd"/>
            <w:r w:rsidRPr="002D372E"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  <w:t xml:space="preserve"> – od 210 × 279,4 mm do 216,0 × 355,6 mm</w:t>
            </w:r>
            <w:r w:rsidRPr="002D372E"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  <w:br/>
              <w:t>Od 60 do 120 g/m²</w:t>
            </w:r>
            <w:r w:rsidR="00A67B9D" w:rsidRPr="002D372E"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  <w:t xml:space="preserve"> </w:t>
            </w:r>
            <w:r w:rsidR="00A67B9D" w:rsidRPr="002D372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 xml:space="preserve">- </w:t>
            </w:r>
            <w:r w:rsidR="00A67B9D" w:rsidRPr="002D372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336DA367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241A64" w:rsidRPr="00173488" w14:paraId="6177BABC" w14:textId="77777777" w:rsidTr="00B36375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4C4EAFD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173488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Interfejs</w:t>
            </w:r>
          </w:p>
        </w:tc>
      </w:tr>
      <w:tr w:rsidR="00241A64" w:rsidRPr="00173488" w14:paraId="2D515535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49439B6F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Typ interfejsu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41AEC2B2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USB 2.0 Hi-</w:t>
            </w:r>
            <w:proofErr w:type="spellStart"/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Speed</w:t>
            </w:r>
            <w:proofErr w:type="spellEnd"/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, 10BASE-T/100BASE-TX/1000Base-T, łączność bezprzewodowa 802.11b/g/n, bezpośrednie połączenie bezprzewodowe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68700A8B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023A01" w14:paraId="4BA02DE5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43E9C83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Zgodność z systemami operacyjnymi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107014B" w14:textId="6DF5834A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val="en-US" w:eastAsia="pl-PL"/>
              </w:rPr>
            </w:pPr>
            <w:r w:rsidRPr="002D372E">
              <w:rPr>
                <w:rFonts w:ascii="Roboto" w:hAnsi="Roboto"/>
                <w:sz w:val="20"/>
                <w:szCs w:val="20"/>
                <w:lang w:val="en-US"/>
              </w:rPr>
              <w:t>Windows® 11 / Windows® 10 / Windows® 2022 / Server® 2019 / Server® 2016 / Server® 2012R2 / Server® 2012</w:t>
            </w:r>
            <w:r w:rsidRPr="002D372E">
              <w:rPr>
                <w:rFonts w:ascii="Roboto" w:hAnsi="Roboto"/>
                <w:sz w:val="20"/>
                <w:szCs w:val="20"/>
                <w:lang w:val="en-US"/>
              </w:rPr>
              <w:br/>
              <w:t xml:space="preserve">Mac OS X w </w:t>
            </w:r>
            <w:proofErr w:type="spellStart"/>
            <w:r w:rsidRPr="002D372E">
              <w:rPr>
                <w:rFonts w:ascii="Roboto" w:hAnsi="Roboto"/>
                <w:sz w:val="20"/>
                <w:szCs w:val="20"/>
                <w:lang w:val="en-US"/>
              </w:rPr>
              <w:t>wersji</w:t>
            </w:r>
            <w:proofErr w:type="spellEnd"/>
            <w:r w:rsidRPr="002D372E">
              <w:rPr>
                <w:rFonts w:ascii="Roboto" w:hAnsi="Roboto"/>
                <w:sz w:val="20"/>
                <w:szCs w:val="20"/>
                <w:lang w:val="en-US"/>
              </w:rPr>
              <w:t xml:space="preserve"> 10.13 </w:t>
            </w:r>
            <w:proofErr w:type="spellStart"/>
            <w:r w:rsidRPr="002D372E">
              <w:rPr>
                <w:rFonts w:ascii="Roboto" w:hAnsi="Roboto"/>
                <w:sz w:val="20"/>
                <w:szCs w:val="20"/>
                <w:lang w:val="en-US"/>
              </w:rPr>
              <w:t>lub</w:t>
            </w:r>
            <w:proofErr w:type="spellEnd"/>
            <w:r w:rsidRPr="002D372E">
              <w:rPr>
                <w:rFonts w:ascii="Roboto" w:hAnsi="Robo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372E">
              <w:rPr>
                <w:rFonts w:ascii="Roboto" w:hAnsi="Roboto"/>
                <w:sz w:val="20"/>
                <w:szCs w:val="20"/>
                <w:lang w:val="en-US"/>
              </w:rPr>
              <w:t>nowszej</w:t>
            </w:r>
            <w:proofErr w:type="spellEnd"/>
            <w:r w:rsidRPr="002D372E">
              <w:rPr>
                <w:rFonts w:ascii="Roboto" w:hAnsi="Roboto"/>
                <w:sz w:val="20"/>
                <w:szCs w:val="20"/>
                <w:lang w:val="en-US"/>
              </w:rPr>
              <w:br/>
              <w:t>Linux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54C95A75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241A64" w:rsidRPr="00173488" w14:paraId="1173335F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5B0D798A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Protokół sieciowy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EFC8AAF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Drukowanie: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TCP/IP (LPD/Port9100/IPP/IPPS/WSD)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Skanowanie: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 xml:space="preserve">Skanowanie w trybie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Push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: plik: FTP (TCP/IP), SMB3.0 (TCP/IP)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Poczta e-mail / faks internetowy: SMTP (wysyłanie), POP3 (odbieranie)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 xml:space="preserve">Skanowanie w trybie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Pull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: TCP/IP</w:t>
            </w:r>
            <w:r w:rsidRPr="00173488">
              <w:rPr>
                <w:rFonts w:ascii="Roboto" w:hAnsi="Roboto"/>
                <w:sz w:val="20"/>
                <w:szCs w:val="20"/>
              </w:rPr>
              <w:br/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Zarządzanie: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SNMPv1, SNMPv3 (IPv4, IPv6)</w:t>
            </w:r>
            <w:r w:rsidRPr="00173488">
              <w:rPr>
                <w:rFonts w:ascii="Roboto" w:hAnsi="Roboto"/>
                <w:sz w:val="20"/>
                <w:szCs w:val="20"/>
              </w:rPr>
              <w:br/>
            </w:r>
            <w:r w:rsidRPr="00173488">
              <w:rPr>
                <w:rFonts w:ascii="Roboto" w:hAnsi="Roboto"/>
                <w:sz w:val="20"/>
                <w:szCs w:val="20"/>
              </w:rPr>
              <w:lastRenderedPageBreak/>
              <w:br/>
              <w:t>Zabezpieczenia: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 xml:space="preserve">TLS1.3, 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IPSec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>, filtrowanie adresów IP, IEEE802.1X, SNMPv3, SSL (HTTPS, IPPS)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Zabezpieczenia (sieć bezprzewodowa):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Tryb infrastruktury: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WEP (64 bity / 128 bitów), WPA-PSK (TKIP/AES), WPA2-PSK (TKIP/AES), WPA-EAP (AES), WPA2-EAP (AES)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Tryb punktu dostępu: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WPA2-PSK (AES)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29613677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43587982" w14:textId="77777777" w:rsidTr="00B36375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B868993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173488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Charakterystyka ogólna</w:t>
            </w:r>
          </w:p>
        </w:tc>
      </w:tr>
      <w:tr w:rsidR="00241A64" w:rsidRPr="00173488" w14:paraId="0840BA07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43A5767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Szybkość procesora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D37E8D4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1200 MHz</w:t>
            </w:r>
            <w:r w:rsidR="00A67B9D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24EBE1C3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241A64" w:rsidRPr="00173488" w14:paraId="11F9BC1E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62D5D42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Pamięć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055F8818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1 GB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3CF4AF66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241A64" w:rsidRPr="00173488" w14:paraId="12A6C549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4B27921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Pamięć masowa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DDDC39A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 xml:space="preserve">4 GB pamięci </w:t>
            </w:r>
            <w:proofErr w:type="spellStart"/>
            <w:r w:rsidRPr="00241A64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eMMC</w:t>
            </w:r>
            <w:proofErr w:type="spellEnd"/>
            <w:r w:rsidR="00A67B9D"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7FA5B1E6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241A64" w:rsidRPr="00173488" w14:paraId="51E38312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2EB3765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Panel sterowania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4B8E82C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Kolorowy ekran dotykowy LCD 12,7 cm</w:t>
            </w:r>
            <w:r w:rsidR="00A67B9D">
              <w:rPr>
                <w:rFonts w:ascii="Roboto" w:hAnsi="Roboto"/>
                <w:sz w:val="20"/>
                <w:szCs w:val="20"/>
              </w:rPr>
              <w:t xml:space="preserve"> </w:t>
            </w:r>
            <w:r w:rsidR="00A67B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A67B9D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34AFA897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050BD4DE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02817B1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Środowisko pracy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D21A616" w14:textId="77777777" w:rsidR="00241A64" w:rsidRPr="00173488" w:rsidRDefault="00241A64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Temperatura: od 10 do 30ºC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Wilgotność względna: od 20 do 80% (bez kondensacji)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4EED6A17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241A64" w:rsidRPr="00173488" w14:paraId="5C18A35B" w14:textId="77777777" w:rsidTr="00B36375">
        <w:tc>
          <w:tcPr>
            <w:tcW w:w="83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31F1FA54" w14:textId="77777777" w:rsidR="00241A64" w:rsidRPr="00173488" w:rsidRDefault="00241A64" w:rsidP="0017348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Poziom hałasu</w:t>
            </w:r>
          </w:p>
        </w:tc>
        <w:tc>
          <w:tcPr>
            <w:tcW w:w="268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B1D2C67" w14:textId="23AF0D28" w:rsidR="00241A64" w:rsidRPr="00173488" w:rsidRDefault="00173488" w:rsidP="00173488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 w:rsidRPr="00173488">
              <w:rPr>
                <w:rFonts w:ascii="Roboto" w:hAnsi="Roboto"/>
                <w:sz w:val="20"/>
                <w:szCs w:val="20"/>
              </w:rPr>
              <w:t>Ciśnienie akustyczne: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Praca:  &lt; 54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dB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br/>
              <w:t>Tryb gotowości: poniżej poziomu słyszalności</w:t>
            </w:r>
            <w:r w:rsidRPr="00173488">
              <w:rPr>
                <w:rFonts w:ascii="Roboto" w:hAnsi="Roboto"/>
                <w:sz w:val="20"/>
                <w:szCs w:val="20"/>
              </w:rPr>
              <w:br/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Moc akustyczna:</w:t>
            </w:r>
            <w:r w:rsidRPr="00173488">
              <w:rPr>
                <w:rFonts w:ascii="Roboto" w:hAnsi="Roboto"/>
                <w:sz w:val="20"/>
                <w:szCs w:val="20"/>
              </w:rPr>
              <w:br/>
              <w:t>Praca: dwustronnie &lt; 69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dB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t xml:space="preserve"> / jednostronnie &lt; 68 </w:t>
            </w:r>
            <w:proofErr w:type="spellStart"/>
            <w:r w:rsidRPr="00173488">
              <w:rPr>
                <w:rFonts w:ascii="Roboto" w:hAnsi="Roboto"/>
                <w:sz w:val="20"/>
                <w:szCs w:val="20"/>
              </w:rPr>
              <w:t>dB</w:t>
            </w:r>
            <w:proofErr w:type="spellEnd"/>
            <w:r w:rsidRPr="00173488">
              <w:rPr>
                <w:rFonts w:ascii="Roboto" w:hAnsi="Roboto"/>
                <w:sz w:val="20"/>
                <w:szCs w:val="20"/>
              </w:rPr>
              <w:br/>
              <w:t>Tryb gotowości: poniżej poziomu słyszalności</w:t>
            </w:r>
          </w:p>
        </w:tc>
        <w:tc>
          <w:tcPr>
            <w:tcW w:w="1472" w:type="pct"/>
            <w:shd w:val="clear" w:color="auto" w:fill="FFFFFF" w:themeFill="background1"/>
            <w:vAlign w:val="center"/>
          </w:tcPr>
          <w:p w14:paraId="193D34A0" w14:textId="77777777" w:rsidR="00241A64" w:rsidRPr="002D372E" w:rsidRDefault="00241A64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173488" w14:paraId="1BFCA3AB" w14:textId="77777777" w:rsidTr="00B36375">
        <w:tc>
          <w:tcPr>
            <w:tcW w:w="352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83FD3F8" w14:textId="77777777" w:rsidR="00F466EA" w:rsidRPr="00173488" w:rsidRDefault="00F466EA" w:rsidP="00173488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173488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</w:t>
            </w:r>
            <w:r w:rsidR="0074197E" w:rsidRPr="00173488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Dodatkowe wymagania dotyczące instalacji i konfiguracji</w:t>
            </w:r>
          </w:p>
        </w:tc>
        <w:tc>
          <w:tcPr>
            <w:tcW w:w="1472" w:type="pct"/>
            <w:shd w:val="clear" w:color="auto" w:fill="CCCCCC"/>
            <w:vAlign w:val="center"/>
          </w:tcPr>
          <w:p w14:paraId="7FE8F000" w14:textId="77777777" w:rsidR="00F466EA" w:rsidRDefault="0074197E" w:rsidP="0021055A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173488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 / NIE</w:t>
            </w:r>
          </w:p>
          <w:p w14:paraId="73D082D3" w14:textId="77777777" w:rsidR="003E6E2C" w:rsidRPr="003E6E2C" w:rsidRDefault="003E6E2C" w:rsidP="003E6E2C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3E6E2C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(Należy wpisać właściwe. </w:t>
            </w:r>
          </w:p>
          <w:p w14:paraId="03B398E1" w14:textId="5A892493" w:rsidR="003E6E2C" w:rsidRPr="00173488" w:rsidRDefault="003E6E2C" w:rsidP="003E6E2C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3E6E2C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NIE</w:t>
            </w:r>
            <w:r w:rsidRPr="003E6E2C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” albo nieuzupełnienia pola, oferta podlegać będzie odrzuceniu)</w:t>
            </w:r>
          </w:p>
        </w:tc>
      </w:tr>
      <w:tr w:rsidR="00F466EA" w:rsidRPr="00173488" w14:paraId="7165BBD0" w14:textId="77777777" w:rsidTr="00B36375">
        <w:tc>
          <w:tcPr>
            <w:tcW w:w="83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61F85E0" w14:textId="77777777" w:rsidR="00F466EA" w:rsidRPr="00173488" w:rsidRDefault="00173488" w:rsidP="00173488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173488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Instalacja i konfiguracja</w:t>
            </w:r>
          </w:p>
        </w:tc>
        <w:tc>
          <w:tcPr>
            <w:tcW w:w="268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25FC967" w14:textId="77777777" w:rsidR="00F466EA" w:rsidRPr="00173488" w:rsidRDefault="00173488" w:rsidP="00173488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173488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Urządzenie wielofunkcyjne należy zainstalować we wskazanych przez zamawiającego gabinetach oraz skonfigurować do pracy w sieci LAN. Dodatkowo należy zainstalować sterownik urządzenia na wskazanych stacjach roboczych oraz nadać drukarce właściwą nazwę w celu łatwej identyfikacji. Nomenklatura nazewnictwa zostanie wskazana przez zamawiającego.</w:t>
            </w:r>
            <w:r w:rsidR="00283251" w:rsidRPr="00173488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</w:p>
        </w:tc>
        <w:tc>
          <w:tcPr>
            <w:tcW w:w="1472" w:type="pct"/>
            <w:shd w:val="clear" w:color="auto" w:fill="FFFFFF"/>
            <w:vAlign w:val="center"/>
          </w:tcPr>
          <w:p w14:paraId="6FBE44E3" w14:textId="77777777" w:rsidR="00F466EA" w:rsidRPr="00173488" w:rsidRDefault="00F466EA" w:rsidP="00173488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</w:tbl>
    <w:p w14:paraId="66E3046F" w14:textId="77777777" w:rsidR="00F466EA" w:rsidRPr="00173488" w:rsidRDefault="00F466EA" w:rsidP="00F466EA">
      <w:pPr>
        <w:jc w:val="center"/>
        <w:rPr>
          <w:rFonts w:ascii="Roboto" w:hAnsi="Roboto"/>
          <w:b/>
          <w:sz w:val="20"/>
          <w:szCs w:val="20"/>
        </w:rPr>
      </w:pPr>
    </w:p>
    <w:sectPr w:rsidR="00F466EA" w:rsidRPr="00173488" w:rsidSect="002D372E">
      <w:headerReference w:type="default" r:id="rId10"/>
      <w:footerReference w:type="default" r:id="rId11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2B6BC" w14:textId="77777777" w:rsidR="00657B8D" w:rsidRDefault="00657B8D" w:rsidP="002D372E">
      <w:pPr>
        <w:spacing w:after="0" w:line="240" w:lineRule="auto"/>
      </w:pPr>
      <w:r>
        <w:separator/>
      </w:r>
    </w:p>
  </w:endnote>
  <w:endnote w:type="continuationSeparator" w:id="0">
    <w:p w14:paraId="6714A90A" w14:textId="77777777" w:rsidR="00657B8D" w:rsidRDefault="00657B8D" w:rsidP="002D3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B594A" w14:textId="77777777" w:rsidR="0071577B" w:rsidRPr="00C00DA5" w:rsidRDefault="0071577B" w:rsidP="0071577B">
    <w:pPr>
      <w:tabs>
        <w:tab w:val="left" w:pos="540"/>
        <w:tab w:val="left" w:pos="780"/>
      </w:tabs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6440C34B" w14:textId="5BA1E13F" w:rsidR="0071577B" w:rsidRPr="0071577B" w:rsidRDefault="0071577B" w:rsidP="0071577B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C00DA5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00DA5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C00DA5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C00DA5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339DA" w14:textId="77777777" w:rsidR="00657B8D" w:rsidRDefault="00657B8D" w:rsidP="002D372E">
      <w:pPr>
        <w:spacing w:after="0" w:line="240" w:lineRule="auto"/>
      </w:pPr>
      <w:r>
        <w:separator/>
      </w:r>
    </w:p>
  </w:footnote>
  <w:footnote w:type="continuationSeparator" w:id="0">
    <w:p w14:paraId="5A275AF2" w14:textId="77777777" w:rsidR="00657B8D" w:rsidRDefault="00657B8D" w:rsidP="002D3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062D8" w14:textId="77777777" w:rsidR="002D372E" w:rsidRDefault="002D372E" w:rsidP="002D372E">
    <w:pPr>
      <w:pStyle w:val="Nagwek"/>
    </w:pPr>
    <w:r>
      <w:rPr>
        <w:noProof/>
        <w:lang w:eastAsia="pl-PL"/>
      </w:rPr>
      <w:drawing>
        <wp:inline distT="0" distB="0" distL="0" distR="0" wp14:anchorId="28D277F3" wp14:editId="2D5076BA">
          <wp:extent cx="5759450" cy="625972"/>
          <wp:effectExtent l="0" t="0" r="0" b="0"/>
          <wp:docPr id="1810415604" name="Obraz 18104156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BCA9FF" w14:textId="57FBFA82" w:rsidR="002D372E" w:rsidRPr="00392157" w:rsidRDefault="002D372E" w:rsidP="002D372E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A71F4B">
      <w:rPr>
        <w:rFonts w:ascii="Calibri" w:hAnsi="Calibri" w:cs="Calibri"/>
        <w:sz w:val="20"/>
        <w:szCs w:val="20"/>
      </w:rPr>
      <w:t xml:space="preserve">Nr referencyjny: </w:t>
    </w:r>
    <w:r w:rsidR="00023A01" w:rsidRPr="00023A01">
      <w:rPr>
        <w:rFonts w:ascii="Calibri" w:hAnsi="Calibri" w:cs="Calibri"/>
        <w:sz w:val="20"/>
        <w:szCs w:val="20"/>
      </w:rPr>
      <w:t>AdG.26.01.2026</w:t>
    </w:r>
    <w:r>
      <w:rPr>
        <w:rFonts w:ascii="Calibri" w:hAnsi="Calibri" w:cs="Calibri"/>
        <w:sz w:val="20"/>
      </w:rPr>
      <w:t xml:space="preserve"> </w:t>
    </w:r>
  </w:p>
  <w:p w14:paraId="743F354E" w14:textId="77777777" w:rsidR="002D372E" w:rsidRPr="002D372E" w:rsidRDefault="002D372E" w:rsidP="002D37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49D"/>
    <w:rsid w:val="00010636"/>
    <w:rsid w:val="00023A01"/>
    <w:rsid w:val="0006549D"/>
    <w:rsid w:val="000718A3"/>
    <w:rsid w:val="00173488"/>
    <w:rsid w:val="0021055A"/>
    <w:rsid w:val="00241A64"/>
    <w:rsid w:val="00283251"/>
    <w:rsid w:val="002D372E"/>
    <w:rsid w:val="003E6E2C"/>
    <w:rsid w:val="00567F2C"/>
    <w:rsid w:val="00580D48"/>
    <w:rsid w:val="0061483B"/>
    <w:rsid w:val="00657B8D"/>
    <w:rsid w:val="006B2774"/>
    <w:rsid w:val="0071577B"/>
    <w:rsid w:val="0074197E"/>
    <w:rsid w:val="00751C20"/>
    <w:rsid w:val="00874711"/>
    <w:rsid w:val="008B0DC1"/>
    <w:rsid w:val="009037D7"/>
    <w:rsid w:val="00940FDB"/>
    <w:rsid w:val="00945BEF"/>
    <w:rsid w:val="00A255C5"/>
    <w:rsid w:val="00A479EF"/>
    <w:rsid w:val="00A67B9D"/>
    <w:rsid w:val="00A82467"/>
    <w:rsid w:val="00B00363"/>
    <w:rsid w:val="00B0547C"/>
    <w:rsid w:val="00B36375"/>
    <w:rsid w:val="00B37674"/>
    <w:rsid w:val="00B55512"/>
    <w:rsid w:val="00BB3BC1"/>
    <w:rsid w:val="00C577D8"/>
    <w:rsid w:val="00C6187E"/>
    <w:rsid w:val="00C67067"/>
    <w:rsid w:val="00EE5C8C"/>
    <w:rsid w:val="00F021EE"/>
    <w:rsid w:val="00F4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7D92F2"/>
  <w15:chartTrackingRefBased/>
  <w15:docId w15:val="{3F111F1B-6B81-4E37-8BE3-2831F1FF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065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255C5"/>
    <w:rPr>
      <w:color w:val="0000FF"/>
      <w:u w:val="singl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2D3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2D372E"/>
  </w:style>
  <w:style w:type="paragraph" w:styleId="Stopka">
    <w:name w:val="footer"/>
    <w:basedOn w:val="Normalny"/>
    <w:link w:val="StopkaZnak"/>
    <w:uiPriority w:val="99"/>
    <w:unhideWhenUsed/>
    <w:rsid w:val="002D3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72E"/>
  </w:style>
  <w:style w:type="paragraph" w:styleId="Tekstdymka">
    <w:name w:val="Balloon Text"/>
    <w:basedOn w:val="Normalny"/>
    <w:link w:val="TekstdymkaZnak"/>
    <w:uiPriority w:val="99"/>
    <w:semiHidden/>
    <w:unhideWhenUsed/>
    <w:rsid w:val="0001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63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27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2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4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1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9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1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2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90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8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9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250F3D-D494-4E24-95E3-D1BEB0625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C9B7C-D06D-47F1-BBB3-7D85C3769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C5A473-2576-4106-8540-109BFBD6CAD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B53B6640-6A4A-4AA0-B971-FDBE4A9FE5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950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Sotniczuk</dc:creator>
  <cp:keywords/>
  <dc:description/>
  <cp:lastModifiedBy>Krzysztof Pawlik</cp:lastModifiedBy>
  <cp:revision>21</cp:revision>
  <dcterms:created xsi:type="dcterms:W3CDTF">2025-11-24T09:32:00Z</dcterms:created>
  <dcterms:modified xsi:type="dcterms:W3CDTF">2026-01-16T08:29:00Z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